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4D" w:rsidRDefault="0047014D">
      <w:pPr>
        <w:widowControl w:val="0"/>
        <w:pBdr>
          <w:top w:val="nil"/>
          <w:left w:val="nil"/>
          <w:bottom w:val="nil"/>
          <w:right w:val="nil"/>
          <w:between w:val="nil"/>
        </w:pBdr>
        <w:spacing w:after="0" w:line="276" w:lineRule="auto"/>
        <w:ind w:left="-2" w:firstLine="0"/>
        <w:rPr>
          <w:rFonts w:ascii="Arial" w:eastAsia="Arial" w:hAnsi="Arial" w:cs="Arial"/>
          <w:color w:val="000000"/>
          <w:sz w:val="2"/>
          <w:szCs w:val="2"/>
        </w:rPr>
      </w:pPr>
    </w:p>
    <w:tbl>
      <w:tblPr>
        <w:tblStyle w:val="a"/>
        <w:tblW w:w="10154" w:type="dxa"/>
        <w:jc w:val="center"/>
        <w:tblLayout w:type="fixed"/>
        <w:tblLook w:val="0000" w:firstRow="0" w:lastRow="0" w:firstColumn="0" w:lastColumn="0" w:noHBand="0" w:noVBand="0"/>
      </w:tblPr>
      <w:tblGrid>
        <w:gridCol w:w="5550"/>
        <w:gridCol w:w="4604"/>
      </w:tblGrid>
      <w:tr w:rsidR="0047014D">
        <w:trPr>
          <w:jc w:val="center"/>
        </w:trPr>
        <w:tc>
          <w:tcPr>
            <w:tcW w:w="5550" w:type="dxa"/>
            <w:vAlign w:val="center"/>
          </w:tcPr>
          <w:p w:rsidR="0047014D" w:rsidRPr="006B5105" w:rsidRDefault="007F19CF">
            <w:pPr>
              <w:tabs>
                <w:tab w:val="center" w:pos="2694"/>
              </w:tabs>
              <w:spacing w:after="0" w:line="240" w:lineRule="auto"/>
              <w:ind w:left="1" w:right="-108" w:hanging="3"/>
              <w:jc w:val="center"/>
              <w:rPr>
                <w:rFonts w:ascii="Times New Roman" w:eastAsia="Times New Roman" w:hAnsi="Times New Roman" w:cs="Times New Roman"/>
                <w:spacing w:val="-6"/>
                <w:sz w:val="28"/>
                <w:szCs w:val="28"/>
              </w:rPr>
            </w:pPr>
            <w:r w:rsidRPr="006B5105">
              <w:rPr>
                <w:rFonts w:ascii="Times New Roman" w:eastAsia="Times New Roman" w:hAnsi="Times New Roman" w:cs="Times New Roman"/>
                <w:spacing w:val="-6"/>
                <w:sz w:val="28"/>
                <w:szCs w:val="28"/>
              </w:rPr>
              <w:t>BCH ĐOÀN KHỐI DÂN - CHÍNH - ĐẢNG TP</w:t>
            </w:r>
          </w:p>
          <w:p w:rsidR="0047014D" w:rsidRDefault="007F19CF">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ỦY BAN KIỂM TRA</w:t>
            </w:r>
          </w:p>
          <w:p w:rsidR="0047014D" w:rsidRDefault="007F19CF">
            <w:pPr>
              <w:tabs>
                <w:tab w:val="center" w:pos="2694"/>
                <w:tab w:val="left" w:pos="4820"/>
                <w:tab w:val="right" w:pos="14560"/>
              </w:tabs>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7014D" w:rsidRDefault="007F19CF">
            <w:pPr>
              <w:spacing w:after="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Số: 08-CTr/UBKT</w:t>
            </w:r>
          </w:p>
        </w:tc>
        <w:tc>
          <w:tcPr>
            <w:tcW w:w="4604" w:type="dxa"/>
          </w:tcPr>
          <w:p w:rsidR="0047014D" w:rsidRDefault="007F19CF">
            <w:pPr>
              <w:tabs>
                <w:tab w:val="center" w:pos="-2990"/>
                <w:tab w:val="center" w:pos="2694"/>
                <w:tab w:val="center" w:pos="7920"/>
              </w:tabs>
              <w:spacing w:after="0" w:line="240" w:lineRule="auto"/>
              <w:ind w:left="1" w:right="-85" w:hanging="3"/>
              <w:jc w:val="right"/>
              <w:rPr>
                <w:rFonts w:ascii="Times New Roman" w:eastAsia="Times New Roman" w:hAnsi="Times New Roman" w:cs="Times New Roman"/>
                <w:sz w:val="30"/>
                <w:szCs w:val="30"/>
              </w:rPr>
            </w:pPr>
            <w:r>
              <w:rPr>
                <w:rFonts w:ascii="Times New Roman" w:eastAsia="Times New Roman" w:hAnsi="Times New Roman" w:cs="Times New Roman"/>
                <w:b/>
                <w:sz w:val="30"/>
                <w:szCs w:val="30"/>
                <w:u w:val="single"/>
              </w:rPr>
              <w:t>ĐOÀN TNCS HỒ CHÍ MINH</w:t>
            </w:r>
          </w:p>
          <w:p w:rsidR="0047014D" w:rsidRDefault="0047014D">
            <w:pPr>
              <w:tabs>
                <w:tab w:val="center" w:pos="2694"/>
              </w:tabs>
              <w:spacing w:after="0" w:line="240" w:lineRule="auto"/>
              <w:ind w:left="1" w:right="-85" w:hanging="3"/>
              <w:jc w:val="right"/>
              <w:rPr>
                <w:rFonts w:ascii="Times New Roman" w:eastAsia="Times New Roman" w:hAnsi="Times New Roman" w:cs="Times New Roman"/>
                <w:sz w:val="26"/>
                <w:szCs w:val="26"/>
              </w:rPr>
            </w:pPr>
          </w:p>
          <w:p w:rsidR="0047014D" w:rsidRDefault="0047014D">
            <w:pPr>
              <w:tabs>
                <w:tab w:val="center" w:pos="2694"/>
              </w:tabs>
              <w:spacing w:after="0" w:line="240" w:lineRule="auto"/>
              <w:ind w:left="1" w:right="-85" w:hanging="3"/>
              <w:jc w:val="right"/>
              <w:rPr>
                <w:rFonts w:ascii="Times New Roman" w:eastAsia="Times New Roman" w:hAnsi="Times New Roman" w:cs="Times New Roman"/>
                <w:sz w:val="26"/>
                <w:szCs w:val="26"/>
              </w:rPr>
            </w:pPr>
          </w:p>
          <w:p w:rsidR="0047014D" w:rsidRPr="006B5105" w:rsidRDefault="007F19CF">
            <w:pPr>
              <w:tabs>
                <w:tab w:val="center" w:pos="2694"/>
              </w:tabs>
              <w:spacing w:after="0" w:line="240" w:lineRule="auto"/>
              <w:ind w:left="0" w:right="-85" w:hanging="2"/>
              <w:jc w:val="right"/>
              <w:rPr>
                <w:rFonts w:ascii="Times New Roman" w:eastAsia="Times New Roman" w:hAnsi="Times New Roman" w:cs="Times New Roman"/>
              </w:rPr>
            </w:pPr>
            <w:r w:rsidRPr="006B5105">
              <w:rPr>
                <w:rFonts w:ascii="Times New Roman" w:eastAsia="Times New Roman" w:hAnsi="Times New Roman" w:cs="Times New Roman"/>
                <w:i/>
              </w:rPr>
              <w:t>TP. Hồ Chí Minh, ngày 01  tháng 02 năm 2024</w:t>
            </w:r>
          </w:p>
        </w:tc>
      </w:tr>
    </w:tbl>
    <w:p w:rsidR="0047014D" w:rsidRPr="006B5105" w:rsidRDefault="0047014D">
      <w:pPr>
        <w:spacing w:after="0" w:line="240" w:lineRule="auto"/>
        <w:ind w:left="1" w:hanging="3"/>
        <w:jc w:val="center"/>
        <w:rPr>
          <w:rFonts w:ascii="Times New Roman" w:eastAsia="Times New Roman" w:hAnsi="Times New Roman" w:cs="Times New Roman"/>
          <w:sz w:val="32"/>
          <w:szCs w:val="24"/>
        </w:rPr>
      </w:pPr>
    </w:p>
    <w:p w:rsidR="0047014D" w:rsidRDefault="007F19CF">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CHƯƠNG TRÌNH </w:t>
      </w:r>
    </w:p>
    <w:p w:rsidR="0047014D" w:rsidRDefault="007F19CF">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Công tác kiểm tra, giám sát năm 2024</w:t>
      </w:r>
    </w:p>
    <w:p w:rsidR="0047014D" w:rsidRDefault="007F19CF">
      <w:pPr>
        <w:spacing w:after="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w:t>
      </w:r>
    </w:p>
    <w:p w:rsidR="0047014D" w:rsidRDefault="0047014D">
      <w:pPr>
        <w:spacing w:after="0" w:line="240" w:lineRule="auto"/>
        <w:ind w:left="0" w:hanging="2"/>
        <w:jc w:val="center"/>
        <w:rPr>
          <w:rFonts w:ascii="Times New Roman" w:eastAsia="Times New Roman" w:hAnsi="Times New Roman" w:cs="Times New Roman"/>
          <w:sz w:val="24"/>
          <w:szCs w:val="24"/>
        </w:rPr>
      </w:pP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Căn cứ Chương trình công tác Đoàn và phong trào thanh niên Khối Dân - Chính - Đảng Thành phố năm 2024 chủ đề “Năm thanh niên tình nguyện”, Ủy ban Kiểm tra Đoàn Khối xây dựng chương trình công tác kiểm tra, giám sát năm 2024 với các nội dung cụ thể như sau:</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I. NHIỆM VỤ TRỌNG TÂM:</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Công tác kiểm tra, giám sát chuyên đề gắn với chủ đề công tác Đoàn và phong trào thanh niên Khối Dân - Chính - Đảng Thành phố. Trong đó, tập trung nội dung học tập, quán triệt và triển khai thực hiện Nghị quyết Đại hội Đoàn các cấp, nhiệm kỳ 2022 – 2027.</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xml:space="preserve">- Đổi mới phương thức, nâng cao hiệu quả công tác kiểm tra, giám sát của Đoàn. Chú trọng việc phát huy hiệu quả sau kiểm tra, giám sát để góp phần nâng cao công tác lãnh chỉ đạo đối với công tác Đoàn và phong trào thanh niên của từng cơ quan, đơn vị. </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Tìm kiếm, phát hiện mô hình, giải pháp mới, sáng tạo trong công tác Đoàn và phong trào thanh niên; tập trung giải quyết các vấn đề khó, mới phát sinh từ thực tiễn, các vấn đề cần lưu ý gắn với điều kiện hoạt động của từng khu vực, cơ quan, đơn vị đã được chỉ ra trong nhiệm kỳ qua.</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xml:space="preserve">- Phát huy vai trò đội ngũ Ủy ban Kiểm tra cấp Khối và cán bộ phụ trách công tác kiểm tra, giám sát tại cơ sở Đoàn. Tăng cường công tác bồi dưỡng, tập huấn gắn với chuyên đề cụ thể của từng khu vực, giúp đội ngũ cán bộ phụ trách công tác kiểm tra, giám sát nắm vững nghiệp vụ và tham mưu có hiệu quả các nội dung kiểm tra, giám sát tại cơ quan, đơn vị. </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II. HỆ THỐNG CHỈ TIÊU:</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Cấp Khối tổ chức kiểm tra 02 chuyên đề, giám sát 01 chuyên đề.</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- 100% cơ sở Đoàn trực thuộc cụ thể hóa nội dung công tác kiểm tra, giám sát của Đoàn vào chương trình công tác năm 2024.</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xml:space="preserve">- 90% cơ sở Đoàn trực thuộc được Đoàn Khối và 75% chi đoàn bộ phận được kiểm tra, giám sát chuyên đề ít nhất 01 lần trong năm. </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- 100% cán bộ phụ trách công tác kiểm tra, giám sát được bồi dưỡng, tập huấn nghiệp vụ trong năm.</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sz w:val="28"/>
          <w:szCs w:val="28"/>
        </w:rPr>
        <w:br w:type="page"/>
      </w:r>
      <w:r w:rsidRPr="006B5105">
        <w:rPr>
          <w:rFonts w:ascii="Times New Roman" w:eastAsia="Times New Roman" w:hAnsi="Times New Roman" w:cs="Times New Roman"/>
          <w:b/>
          <w:sz w:val="28"/>
          <w:szCs w:val="28"/>
        </w:rPr>
        <w:lastRenderedPageBreak/>
        <w:t>III. NỘI DUNG VÀ GIẢI PHÁP THỰC HIỆN: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1. Tham mưu cho Ban Chấp hành Đoàn Khối kiểm tra việc thi hành Điều lệ, Nghị quyết của Đoàn, bảo vệ quyền và lợi ích hợp pháp của đoàn viên, thanh niên: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Kiểm tra, giám sát việc xây dựng và triển khai các chương trình, kế hoạch trong năm 2024 của các cơ sở Đoàn theo các chỉ đạo của Ban Chấp hành, Ban Thường vụ Đoàn Khối; đặc biệt đối với những nội dung, công trình gắn với việc triển khai thực hiện Nghị quyết Đại hội Đoàn các cấp.</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xml:space="preserve">- Tổ chức kiểm tra chuyên đề </w:t>
      </w:r>
      <w:r w:rsidRPr="006B5105">
        <w:rPr>
          <w:rFonts w:ascii="Times New Roman" w:eastAsia="Times New Roman" w:hAnsi="Times New Roman" w:cs="Times New Roman"/>
          <w:i/>
          <w:sz w:val="28"/>
          <w:szCs w:val="28"/>
        </w:rPr>
        <w:t>“Việc học tập, quán triệt, triển khai Nghị quyết Đại hội đại biểu Đoàn TNCS Hồ Chí Minh TP. Hồ Chí Minh lần thứ XI và Nghị quyết Đại hội đại biểu Đoàn TNCS Hồ Chí Minh lần thứ XII, nhiệm kỳ 2022 - 2027”</w:t>
      </w:r>
      <w:r w:rsidRPr="006B5105">
        <w:rPr>
          <w:rFonts w:ascii="Times New Roman" w:eastAsia="Times New Roman" w:hAnsi="Times New Roman" w:cs="Times New Roman"/>
          <w:sz w:val="28"/>
          <w:szCs w:val="28"/>
        </w:rPr>
        <w:t xml:space="preserve"> và chuyên đề </w:t>
      </w:r>
      <w:r w:rsidRPr="006B5105">
        <w:rPr>
          <w:rFonts w:ascii="Times New Roman" w:eastAsia="Times New Roman" w:hAnsi="Times New Roman" w:cs="Times New Roman"/>
          <w:i/>
          <w:sz w:val="28"/>
          <w:szCs w:val="28"/>
        </w:rPr>
        <w:t>“Công tác triển khai, thực hiện Hướng dẫn số 01-HD/ĐTN ngày 29/4/2022 của Ban Thường vụ Đoàn Khối về tổ chức chương trình đối thoại của Thủ trưởng cơ quan, đơn vị với thanh niên”</w:t>
      </w:r>
      <w:r w:rsidRPr="006B5105">
        <w:rPr>
          <w:rFonts w:ascii="Times New Roman" w:eastAsia="Times New Roman" w:hAnsi="Times New Roman" w:cs="Times New Roman"/>
          <w:sz w:val="28"/>
          <w:szCs w:val="28"/>
        </w:rPr>
        <w:t>.</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2. Kiểm tra cán bộ, đoàn viên (kể cả Ủy viên Ban Chấp hành Đoàn Khối) và các cơ sở Đoàn khi có dấu hiệu vi phạm Điều lệ Đoàn: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Kiểm tra dấu hiệu vi phạm trong việc thực hiện các nguyên tắc tổ chức Đoàn nhất là những vấn đề thuộc về nguyên tắc tập trung dân chủ, quy chế làm việc, đoàn kết nội bộ trong cơ quan chuyên trách Đoàn Khối; kiểm tra cán bộ, đoàn viên trong việc giữ gìn phẩm chất, đạo đức cách mạng, chấp hành chủ trương, chính sách của Đảng, pháp luật của Nhà nước gắn với thực hiện Nghị quyết Hội nghị lần thứ 4 Ban Chấp hành Trung ương Đảng khóa XII, khóa XIII về tăng cường xây dựng, chỉnh đốn Đảng; ngăn chặn, đẩy lùi sự suy thoái về tư tưởng chính trị, đạo đức, lối sống, những biểu hiện “tự diễn biến”, “tự chuyển hóa” trong nội bộ.</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Tăng cường hoạt động kiểm tra mang tính phòng ngừa, phát huy tính chủ động trong việc thực hiện công tác tự kiểm tra, giám sát của cơ sở.</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3. Kiểm tra việc thực hiện nhiệm vụ kiểm tra, giám sát, thi hành kỷ luật của các cơ sở Đoàn: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Phát huy vai trò của các đồng chí Ủy viên Ủy ban Kiểm tra Đoàn Khối trong kiểm tra, giám sát và tham dự các nội dung kiểm tra, giám sát chuyên đề tại các cơ sở Đoàn, qua đó tăng cường tính định hướng trong việc nâng cao hiệu quả hoạt động kiểm tra, giám sát của cơ sở Đoàn.</w:t>
      </w:r>
    </w:p>
    <w:p w:rsidR="006B5105"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Kiểm tra, giám sát việc thực hiện nguyên tắc, thủ tục và thẩm quyền thi hành kỷ luật của tổ chức Đoàn các cấp; việc giải quyết khiếu nại, tố cáo của Đoàn cấp dưới; việc tổ chức thực hiện các quyết định, thông báo của các cấp bộ Đoàn về thi hành kỷ luật của Đoàn (nếu có).</w:t>
      </w:r>
    </w:p>
    <w:p w:rsidR="006B5105" w:rsidRDefault="006B5105">
      <w:pPr>
        <w:suppressAutoHyphens w:val="0"/>
        <w:ind w:leftChars="0" w:left="0" w:firstLineChars="0" w:firstLine="0"/>
        <w:textDirection w:val="lrTb"/>
        <w:textAlignment w:val="auto"/>
        <w:outlineLvl w:val="9"/>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lastRenderedPageBreak/>
        <w:t xml:space="preserve">4. Kiểm tra công tác Đoàn phí, việc sử dụng các nguồn quỹ khác của các cơ sở Đoàn: </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Tiếp tục hướng dẫn về cách tính Đoàn phí, thông báo mức trích nộp Đoàn phí định kỳ 6 tháng/lần và thực hiện việc kiểm tra, giám sát các cơ sở Đoàn trong trích nộp Đoàn phí năm 2024 đảm bảo theo đúng quy định của Điều lệ Đoàn.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5. Giám sát Ủy viên Ban Chấp hành, cán bộ Đoàn cùng cấp và các cơ sở Đoàn trong việc thực hiện chủ trương, nghị quyết và quy định của Đoàn: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Giám sát việc chấp hành và thực hiện Điều lệ Đoàn TNCS Hồ Chí Minh, các chủ trương, kết luận của Ban Thường vụ Thành Đoàn và Ban Thường vụ Đoàn Khối đối với các đồng chí Ủy viên Ban Chấp hành Đoàn Khối.</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Giám sát việc đi cơ sở đối với các đồng chí cán bộ cơ quan chuyên trách Đoàn Khối.</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xml:space="preserve">- Tổ chức giám sát chuyên đề </w:t>
      </w:r>
      <w:r w:rsidRPr="006B5105">
        <w:rPr>
          <w:rFonts w:ascii="Times New Roman" w:eastAsia="Times New Roman" w:hAnsi="Times New Roman" w:cs="Times New Roman"/>
          <w:i/>
          <w:sz w:val="28"/>
          <w:szCs w:val="28"/>
        </w:rPr>
        <w:t>“Công tác tuyên truyền của Đoàn trên mạng xã hội”</w:t>
      </w:r>
      <w:r w:rsidRPr="006B5105">
        <w:rPr>
          <w:rFonts w:ascii="Times New Roman" w:eastAsia="Times New Roman" w:hAnsi="Times New Roman" w:cs="Times New Roman"/>
          <w:sz w:val="28"/>
          <w:szCs w:val="28"/>
        </w:rPr>
        <w:t>.</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 xml:space="preserve">6. Giải quyết khiếu nại, tố cáo của cán bộ, đoàn viên, thanh niên liên quan đến cán bộ, đoàn viên; tham mưu cho Ban Chấp hành về việc thi hành kỷ luật của Đoàn: </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Thực hiện đúng quy trình giải quyết đơn, thư khiếu nại, tố cáo theo đúng quy định Điều lệ Đoàn và Hướng dẫn thực hiện Điều lệ Đoàn, các văn bản quy phạm pháp luật có liên quan.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7. Tham mưu cho Ban Thường vụ Đoàn Khối tổ chức hiệu quả công tác giám sát và phản biện xã hội, tham gia góp ý xây dựng Đảng, xây dựng chính quyền: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xml:space="preserve">- Tham mưu cho Ban Thường vụ Đoàn Khối thực hiện giám sát cấp ủy, tổ chức Đảng theo Quyết định số 217-QĐ/TW ngày 12/12/2013 của Bộ Chính trị về nội dung </w:t>
      </w:r>
      <w:r w:rsidRPr="006B5105">
        <w:rPr>
          <w:rFonts w:ascii="Times New Roman" w:eastAsia="Times New Roman" w:hAnsi="Times New Roman" w:cs="Times New Roman"/>
          <w:i/>
          <w:sz w:val="28"/>
          <w:szCs w:val="28"/>
        </w:rPr>
        <w:t xml:space="preserve">“Thực hiện quy chế cán bộ đoàn 1233” </w:t>
      </w:r>
      <w:r w:rsidRPr="006B5105">
        <w:rPr>
          <w:rFonts w:ascii="Times New Roman" w:eastAsia="Times New Roman" w:hAnsi="Times New Roman" w:cs="Times New Roman"/>
          <w:sz w:val="28"/>
          <w:szCs w:val="28"/>
        </w:rPr>
        <w:t>đối với Đảng ủy Đài Tiếng nói nhân dân Thành phố và Đảng ủy Viện Nghiên cứu phát triển Thành phố.</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Tích cực và chủ động tham gia các Đoàn giám sát của Ban Thường vụ Đảng ủy Khối triển khai.</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Chỉ đạo, hướng dẫn cơ sở Đoàn tổ chức phản biện xã hội đối với dự thảo các chủ trương, đường lối của Đảng, chính sách và pháp luật của Nhà nước khi có yêu cầu phản biện của Ban Thường vụ Thành Đoàn, cấp ủy, chính quyền cùng cấp và cơ quan soạn thảo văn bản.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8. Củng cố tổ chức bộ máy và xây dựng đội ngũ cán bộ phụ trách công tác kiểm tra, giám sát:</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Ủy ban Kiểm tra Đoàn Khối họp định kỳ hàng quý và tham gia đầy đủ các hội nghị Ban Chấp hành Đoàn Khối theo quy định.</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Phấn đấu 100% cán bộ Đoàn làm công tác kiểm tra, giám sát được tập huấn, bồi dưỡng nghiệp vụ ít nhất 01 lần/năm.</w:t>
      </w:r>
    </w:p>
    <w:p w:rsidR="006B5105" w:rsidRDefault="006B5105">
      <w:pPr>
        <w:suppressAutoHyphens w:val="0"/>
        <w:ind w:leftChars="0" w:left="0" w:firstLineChars="0" w:firstLine="0"/>
        <w:textDirection w:val="lrTb"/>
        <w:textAlignment w:val="auto"/>
        <w:outlineLvl w:val="9"/>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lastRenderedPageBreak/>
        <w:t>IV. TỔ CHỨC THỰC HIỆN: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1. Ủy ban Kiểm tra Đoàn Khối:</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Tổ chức tập huấn, triển khai, quán triệt các văn bản về công tác kiểm tra, giám sát cho Ủy viên Ủy ban Kiểm tra Đoàn Khối và cán bộ Đoàn làm công tác kiểm tra, giám sát tại cơ sở Đoàn.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Tham mưu cho Ban Thường vụ, Ban Chấp hành Đoàn Khối giải pháp phát huy hiệu quả vai trò của cán bộ cơ quan chuyên trách Đoàn Khối, cán bộ Đoàn làm công tác kiểm tra, giám sát tại cơ sở thông qua việc kiểm tra, giám sát theo chuyên đề, kiểm tra đột xuất, giám sát thường xuyên.</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Nghiêm chỉnh chấp hành tốt chế độ tham dự các hội nghị chuyên đề cấp Thành; chế độ thông tin, báo cáo thường kỳ hàng quý, 6 tháng, năm, báo cáo chuyên đề về Ủy ban Kiểm tra Thành Đoàn. Thường xuyên đôn đốc, nhắc nhở các đơn vị cơ sở việc tổ chức hoạt động năm 2024 theo đúng chỉ đạo của Ban Chấp hành, Ban Thường vụ Đoàn Khối.</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b/>
          <w:sz w:val="28"/>
          <w:szCs w:val="28"/>
        </w:rPr>
        <w:t xml:space="preserve">2. Các cơ sở Đoàn: </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Căn cứ chương trình công tác kiểm tra, giám sát năm 2024 của Ủy ban Kiểm tra Đoàn Khối để cụ thể hóa vào chương trình công tác năm theo đặc thù tại đơn vị; trong đó, lưu ý việc kiểm tra, giám sát giải quyết những hạn chế tồn tại trong năm 2023 và tăng cường công tác kiểm tra, giám sát để phát hiện, xử lý kịp thời các sai phạm; phát hiện nhân rộng những mô hình, giải pháp, cách làm hay, nhân tố tích cực trong Đoàn. Chủ động giới thiệu cho Ban Thường vụ Đoàn Khối để nghiên cứu, áp dụng cho các cơ sở Đoàn có đủ điều kiện, phù hợp.</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 Chủ động đề xuất những nội dung cần tập huấn, trang bị cho cán bộ Đoàn làm công tác kiểm tra, giám sát tại cơ sở. Quan tâm tạo điều kiện cử cán bộ Đoàn làm công tác kiểm tra, giám sát tham gia các lớp tập huấn công tác kiểm tra, giám sát do Thành Đoàn, Đoàn Khối tổ chức, qua đó nâng cao chất lượng đội ngũ làm công tác kiểm tra, giám sát tại đơn vị.</w:t>
      </w:r>
    </w:p>
    <w:p w:rsidR="0047014D" w:rsidRPr="006B5105" w:rsidRDefault="007F19CF" w:rsidP="006B5105">
      <w:pPr>
        <w:spacing w:before="60" w:after="60" w:line="252" w:lineRule="auto"/>
        <w:ind w:leftChars="0" w:left="0" w:firstLineChars="0" w:firstLine="720"/>
        <w:jc w:val="both"/>
        <w:rPr>
          <w:rFonts w:ascii="Times New Roman" w:eastAsia="Times New Roman" w:hAnsi="Times New Roman" w:cs="Times New Roman"/>
          <w:sz w:val="28"/>
          <w:szCs w:val="28"/>
        </w:rPr>
      </w:pPr>
      <w:r w:rsidRPr="006B5105">
        <w:rPr>
          <w:rFonts w:ascii="Times New Roman" w:eastAsia="Times New Roman" w:hAnsi="Times New Roman" w:cs="Times New Roman"/>
          <w:sz w:val="28"/>
          <w:szCs w:val="28"/>
        </w:rPr>
        <w:t>Ủy ban Kiểm tra Đoàn Khối đề nghị các cơ sở Đoàn nghiêm túc triển khai thực hiện.</w:t>
      </w:r>
    </w:p>
    <w:p w:rsidR="0047014D" w:rsidRDefault="0047014D">
      <w:pPr>
        <w:spacing w:before="60" w:after="60" w:line="252" w:lineRule="auto"/>
        <w:ind w:left="1" w:hanging="3"/>
        <w:jc w:val="both"/>
        <w:rPr>
          <w:rFonts w:ascii="Times New Roman" w:eastAsia="Times New Roman" w:hAnsi="Times New Roman" w:cs="Times New Roman"/>
          <w:sz w:val="27"/>
          <w:szCs w:val="27"/>
        </w:rPr>
      </w:pPr>
      <w:bookmarkStart w:id="0" w:name="_GoBack"/>
      <w:bookmarkEnd w:id="0"/>
    </w:p>
    <w:tbl>
      <w:tblPr>
        <w:tblStyle w:val="a0"/>
        <w:tblW w:w="9648" w:type="dxa"/>
        <w:jc w:val="center"/>
        <w:tblLayout w:type="fixed"/>
        <w:tblLook w:val="0000" w:firstRow="0" w:lastRow="0" w:firstColumn="0" w:lastColumn="0" w:noHBand="0" w:noVBand="0"/>
      </w:tblPr>
      <w:tblGrid>
        <w:gridCol w:w="4518"/>
        <w:gridCol w:w="5130"/>
      </w:tblGrid>
      <w:tr w:rsidR="0047014D" w:rsidTr="006B5105">
        <w:trPr>
          <w:trHeight w:val="2452"/>
          <w:jc w:val="center"/>
        </w:trPr>
        <w:tc>
          <w:tcPr>
            <w:tcW w:w="4518" w:type="dxa"/>
          </w:tcPr>
          <w:p w:rsidR="0047014D" w:rsidRDefault="007F19CF">
            <w:pPr>
              <w:spacing w:after="0" w:line="240" w:lineRule="auto"/>
              <w:ind w:left="1" w:hanging="3"/>
              <w:rPr>
                <w:rFonts w:ascii="Times New Roman" w:eastAsia="Times New Roman" w:hAnsi="Times New Roman" w:cs="Times New Roman"/>
                <w:sz w:val="24"/>
                <w:szCs w:val="24"/>
              </w:rPr>
            </w:pPr>
            <w:r>
              <w:rPr>
                <w:rFonts w:ascii="Times New Roman" w:eastAsia="Times New Roman" w:hAnsi="Times New Roman" w:cs="Times New Roman"/>
                <w:b/>
                <w:i/>
                <w:sz w:val="26"/>
                <w:szCs w:val="26"/>
              </w:rPr>
              <w:t>Nơi nhận:</w:t>
            </w:r>
          </w:p>
          <w:p w:rsidR="0047014D" w:rsidRDefault="007F19CF">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Thành Đoàn: Đồng chí Thường trực phụ trách, Ban TC-KT, Ban CNLĐ, UBKT;</w:t>
            </w:r>
          </w:p>
          <w:p w:rsidR="0047014D" w:rsidRDefault="007F19CF">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Đảng ủy Khối: Thường trực, Ban Dân vận, UBKT;</w:t>
            </w:r>
          </w:p>
          <w:p w:rsidR="0047014D" w:rsidRDefault="007F19CF">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Các đồng chí Ủy viên BCH Đoàn Khối;</w:t>
            </w:r>
          </w:p>
          <w:p w:rsidR="0047014D" w:rsidRDefault="007F19CF">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Các đồng chí Ủy viên UBKT Đoàn Khối;</w:t>
            </w:r>
          </w:p>
          <w:p w:rsidR="0047014D" w:rsidRDefault="007F19CF">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Cấp ủy cơ sở Đoàn;</w:t>
            </w:r>
          </w:p>
          <w:p w:rsidR="0047014D" w:rsidRDefault="007F19CF">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r w:rsidR="006B5105">
              <w:rPr>
                <w:rFonts w:ascii="Times New Roman" w:eastAsia="Times New Roman" w:hAnsi="Times New Roman" w:cs="Times New Roman"/>
              </w:rPr>
              <w:t>Các</w:t>
            </w:r>
            <w:r>
              <w:rPr>
                <w:rFonts w:ascii="Times New Roman" w:eastAsia="Times New Roman" w:hAnsi="Times New Roman" w:cs="Times New Roman"/>
              </w:rPr>
              <w:t xml:space="preserve"> cơ sở Đoàn;</w:t>
            </w:r>
          </w:p>
          <w:p w:rsidR="0047014D" w:rsidRDefault="007F19CF">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 Lưu: VP, UBKT.</w:t>
            </w:r>
          </w:p>
        </w:tc>
        <w:tc>
          <w:tcPr>
            <w:tcW w:w="5130" w:type="dxa"/>
          </w:tcPr>
          <w:p w:rsidR="0047014D" w:rsidRDefault="007F19CF">
            <w:pPr>
              <w:tabs>
                <w:tab w:val="center" w:pos="6096"/>
              </w:tabs>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TM. ỦY BAN KIỂM TRA ĐOÀN KHỐI</w:t>
            </w:r>
          </w:p>
          <w:p w:rsidR="0047014D" w:rsidRDefault="007F19CF">
            <w:pPr>
              <w:tabs>
                <w:tab w:val="center" w:pos="6096"/>
              </w:tabs>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CHỦ NHIỆM</w:t>
            </w:r>
          </w:p>
          <w:p w:rsidR="0047014D" w:rsidRDefault="0047014D">
            <w:pPr>
              <w:tabs>
                <w:tab w:val="center" w:pos="6096"/>
              </w:tabs>
              <w:spacing w:after="0" w:line="240" w:lineRule="auto"/>
              <w:ind w:left="1" w:hanging="3"/>
              <w:jc w:val="center"/>
              <w:rPr>
                <w:rFonts w:ascii="Times New Roman" w:eastAsia="Times New Roman" w:hAnsi="Times New Roman" w:cs="Times New Roman"/>
                <w:sz w:val="28"/>
                <w:szCs w:val="28"/>
              </w:rPr>
            </w:pPr>
          </w:p>
          <w:p w:rsidR="0047014D" w:rsidRDefault="0047014D">
            <w:pPr>
              <w:tabs>
                <w:tab w:val="center" w:pos="6096"/>
              </w:tabs>
              <w:spacing w:after="0" w:line="240" w:lineRule="auto"/>
              <w:ind w:left="1" w:hanging="3"/>
              <w:jc w:val="center"/>
              <w:rPr>
                <w:rFonts w:ascii="Times New Roman" w:eastAsia="Times New Roman" w:hAnsi="Times New Roman" w:cs="Times New Roman"/>
                <w:sz w:val="28"/>
                <w:szCs w:val="28"/>
              </w:rPr>
            </w:pPr>
          </w:p>
          <w:p w:rsidR="0047014D" w:rsidRDefault="0047014D">
            <w:pPr>
              <w:tabs>
                <w:tab w:val="center" w:pos="6096"/>
              </w:tabs>
              <w:spacing w:after="0" w:line="240" w:lineRule="auto"/>
              <w:ind w:left="1" w:hanging="3"/>
              <w:jc w:val="center"/>
              <w:rPr>
                <w:rFonts w:ascii="Times New Roman" w:eastAsia="Times New Roman" w:hAnsi="Times New Roman" w:cs="Times New Roman"/>
                <w:sz w:val="28"/>
                <w:szCs w:val="28"/>
              </w:rPr>
            </w:pPr>
          </w:p>
          <w:p w:rsidR="0047014D" w:rsidRPr="006B5105" w:rsidRDefault="0047014D">
            <w:pPr>
              <w:tabs>
                <w:tab w:val="center" w:pos="6096"/>
              </w:tabs>
              <w:spacing w:after="0" w:line="240" w:lineRule="auto"/>
              <w:jc w:val="center"/>
              <w:rPr>
                <w:rFonts w:ascii="Times New Roman" w:eastAsia="Times New Roman" w:hAnsi="Times New Roman" w:cs="Times New Roman"/>
                <w:sz w:val="10"/>
                <w:szCs w:val="28"/>
              </w:rPr>
            </w:pPr>
          </w:p>
          <w:p w:rsidR="0047014D" w:rsidRDefault="0047014D">
            <w:pPr>
              <w:tabs>
                <w:tab w:val="center" w:pos="6096"/>
              </w:tabs>
              <w:spacing w:after="0" w:line="240" w:lineRule="auto"/>
              <w:ind w:left="1" w:hanging="3"/>
              <w:jc w:val="center"/>
              <w:rPr>
                <w:rFonts w:ascii="Times New Roman" w:eastAsia="Times New Roman" w:hAnsi="Times New Roman" w:cs="Times New Roman"/>
                <w:sz w:val="28"/>
                <w:szCs w:val="28"/>
              </w:rPr>
            </w:pPr>
          </w:p>
          <w:p w:rsidR="0047014D" w:rsidRDefault="007F19CF">
            <w:pPr>
              <w:tabs>
                <w:tab w:val="center" w:pos="6096"/>
              </w:tabs>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Nguyễn Trường Giang</w:t>
            </w:r>
          </w:p>
        </w:tc>
      </w:tr>
    </w:tbl>
    <w:p w:rsidR="0047014D" w:rsidRDefault="0047014D">
      <w:pPr>
        <w:spacing w:after="0" w:line="240" w:lineRule="auto"/>
        <w:ind w:left="1" w:hanging="3"/>
        <w:rPr>
          <w:rFonts w:ascii="Times New Roman" w:eastAsia="Times New Roman" w:hAnsi="Times New Roman" w:cs="Times New Roman"/>
          <w:sz w:val="26"/>
          <w:szCs w:val="26"/>
        </w:rPr>
      </w:pPr>
    </w:p>
    <w:sectPr w:rsidR="0047014D" w:rsidSect="006B5105">
      <w:headerReference w:type="default" r:id="rId7"/>
      <w:pgSz w:w="11909" w:h="16833" w:code="9"/>
      <w:pgMar w:top="993"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AB" w:rsidRDefault="003D5EAB">
      <w:pPr>
        <w:spacing w:after="0" w:line="240" w:lineRule="auto"/>
        <w:ind w:left="0" w:hanging="2"/>
      </w:pPr>
      <w:r>
        <w:separator/>
      </w:r>
    </w:p>
  </w:endnote>
  <w:endnote w:type="continuationSeparator" w:id="0">
    <w:p w:rsidR="003D5EAB" w:rsidRDefault="003D5E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AB" w:rsidRDefault="003D5EAB">
      <w:pPr>
        <w:spacing w:after="0" w:line="240" w:lineRule="auto"/>
        <w:ind w:left="0" w:hanging="2"/>
      </w:pPr>
      <w:r>
        <w:separator/>
      </w:r>
    </w:p>
  </w:footnote>
  <w:footnote w:type="continuationSeparator" w:id="0">
    <w:p w:rsidR="003D5EAB" w:rsidRDefault="003D5EA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4D" w:rsidRDefault="007F19CF">
    <w:pPr>
      <w:pBdr>
        <w:top w:val="nil"/>
        <w:left w:val="nil"/>
        <w:bottom w:val="nil"/>
        <w:right w:val="nil"/>
        <w:between w:val="nil"/>
      </w:pBdr>
      <w:tabs>
        <w:tab w:val="center" w:pos="4680"/>
        <w:tab w:val="right" w:pos="9360"/>
      </w:tabs>
      <w:ind w:left="0" w:hanging="2"/>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3042">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4D"/>
    <w:rsid w:val="001C3042"/>
    <w:rsid w:val="003D5EAB"/>
    <w:rsid w:val="0047014D"/>
    <w:rsid w:val="006B5105"/>
    <w:rsid w:val="007F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1C10F-CF40-4343-A173-C9D32320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krftaY/9ISFqXEwROzViL7hKug==">CgMxLjA4AHIhMXc2YkRaRGNpanhzemNwNHpHbXdaNTJDNVBiUm9zOGZZ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4</cp:revision>
  <cp:lastPrinted>2024-02-02T05:16:00Z</cp:lastPrinted>
  <dcterms:created xsi:type="dcterms:W3CDTF">2023-01-06T03:24:00Z</dcterms:created>
  <dcterms:modified xsi:type="dcterms:W3CDTF">2024-02-02T05:22:00Z</dcterms:modified>
</cp:coreProperties>
</file>